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10" w:rsidRPr="00295B10" w:rsidRDefault="00295B10" w:rsidP="0029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"https://www.scientificamerican.com/article/voyager-2-makes-an-unexpectedly-clean-break-from-the-solar-system/?print=true" </w:instrText>
      </w: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295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scientificamerican.com</w:t>
      </w:r>
      <w:proofErr w:type="gram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95B10" w:rsidRPr="00295B10" w:rsidRDefault="00295B10" w:rsidP="00295B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Voyager 2 </w:t>
      </w:r>
      <w:proofErr w:type="spellStart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Makes</w:t>
      </w:r>
      <w:proofErr w:type="spellEnd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an </w:t>
      </w:r>
      <w:proofErr w:type="spellStart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Unexpectedly</w:t>
      </w:r>
      <w:proofErr w:type="spellEnd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Clean</w:t>
      </w:r>
      <w:proofErr w:type="spellEnd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Break</w:t>
      </w:r>
      <w:proofErr w:type="spellEnd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Solar</w:t>
      </w:r>
      <w:proofErr w:type="spellEnd"/>
      <w:r w:rsidRPr="00295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System</w:t>
      </w:r>
    </w:p>
    <w:p w:rsidR="00295B10" w:rsidRPr="00295B10" w:rsidRDefault="00295B10" w:rsidP="0029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Jonathan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O'Callaghan</w:t>
      </w:r>
      <w:proofErr w:type="spellEnd"/>
    </w:p>
    <w:p w:rsidR="00295B10" w:rsidRPr="00295B10" w:rsidRDefault="00295B10" w:rsidP="0029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5-6 perc</w:t>
      </w:r>
    </w:p>
    <w:p w:rsidR="00295B10" w:rsidRPr="00295B10" w:rsidRDefault="00295B10" w:rsidP="0029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spacecraft’s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exit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revealing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simpler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departure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predecessor</w:t>
      </w:r>
      <w:proofErr w:type="spellEnd"/>
    </w:p>
    <w:p w:rsidR="00295B10" w:rsidRPr="00295B10" w:rsidRDefault="00295B10" w:rsidP="0029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0BAF7F7" wp14:editId="5A4EC7D1">
            <wp:extent cx="5622925" cy="3161030"/>
            <wp:effectExtent l="0" t="0" r="0" b="1270"/>
            <wp:docPr id="4" name="Kép 4" descr="Voyager 2 Makes an Unexpectedly Clean Break from the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yager 2 Makes an Unexpectedly Clean Break from the Solar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10" w:rsidRPr="00295B10" w:rsidRDefault="00295B10" w:rsidP="0029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Illustration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shows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positions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NASA’s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1 and Voyager 2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probes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outside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heliosphere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surrounding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beyond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begins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Credit: </w:t>
      </w:r>
      <w:hyperlink r:id="rId5" w:tgtFrame="_blank" w:history="1"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NASA and </w:t>
        </w:r>
        <w:proofErr w:type="spellStart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JPL-Caltech</w:t>
        </w:r>
        <w:proofErr w:type="spellEnd"/>
      </w:hyperlink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Astronomers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released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late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passage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NASA’s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2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probe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revealing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notable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differences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crossing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made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sister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spacecraft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Voyager 1,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2012. The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shows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although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1’s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departure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fairly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messy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,”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exit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Voyager 2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much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cleaner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left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influence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journey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galaxy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2’s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Plasma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Science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Experiment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instrument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working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1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during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earlier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entry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confirmed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2’s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exit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occurred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 5, 2018.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2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registered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sudden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decrease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wind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particles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emanating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along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concordant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increase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incoming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cosmic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rays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strength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magnetic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Taken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together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showed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spacecraft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passed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beyond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boundary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influence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known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heliopause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—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loosely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defined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point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begins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Both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probes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launched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weeks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apart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1977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grand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tour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outer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human-built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machines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reached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series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papers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journal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Nature</w:t>
      </w:r>
      <w:proofErr w:type="spellEnd"/>
      <w:r w:rsidRPr="00295B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Astronomy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five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teams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>
        <w:proofErr w:type="spellStart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analyzed</w:t>
        </w:r>
        <w:proofErr w:type="spellEnd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the</w:t>
        </w:r>
        <w:proofErr w:type="spellEnd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data</w:t>
        </w:r>
        <w:proofErr w:type="spellEnd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from</w:t>
        </w:r>
        <w:proofErr w:type="spellEnd"/>
        <w:r w:rsidRPr="00295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Voyager 2</w:t>
        </w:r>
      </w:hyperlink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crossing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Voyager 1.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Although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took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1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cross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heliopause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leaving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bubble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influence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known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heliosphere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took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2 less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day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1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found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even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before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left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heliosphere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episodes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connected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‘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outside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,’”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says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project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Stone, lead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papers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2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just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opposite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outside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continued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see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particles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leaking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inside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passage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spacecraft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occurred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similar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distances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—121.</w:t>
      </w:r>
      <w:proofErr w:type="gram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1 versus 119 AU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2 (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unit, is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Voyager 1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appears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unique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crossing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so-called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stagnation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, 8.</w:t>
      </w:r>
      <w:proofErr w:type="gram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across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movement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plasma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spacecraft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dropped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almost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zero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able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instruments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despite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spacecraft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having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working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plasma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instrument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).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Essentially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plasma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just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sitting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,”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says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John Richardson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Massachusetts Institute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Technology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lead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comparison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Voyager 2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encounter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plasma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stagnates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instead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passing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so-called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transition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flow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plasma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begins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strength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boundary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layer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incoming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cosmic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particles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increase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clean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break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heliopause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“Voyager 1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seemed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more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messy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,”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says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Strauss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North-West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University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South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Africa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“Voyager 2 had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seemingly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simple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that’s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explained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moment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might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decreased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activity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during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11-year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cycle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], and Voyager 2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crossing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heliopause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moving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inwards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Nevertheless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despite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spacecraft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being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each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165</w:t>
      </w:r>
      <w:proofErr w:type="gram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fact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crossings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occurred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similar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distances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during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significantly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levels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activity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remarkable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,”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Stamatios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Krimigis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Johns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Hopkins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University 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colleagues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wrote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overall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pose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interesting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questions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heliosphere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debate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whether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spherical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bubble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cometlike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tail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extending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back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owing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sun’s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motion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galaxy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seems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something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,” Strauss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says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don’t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exact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shape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heliosphere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rather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depressing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Both Voyager 1 and Voyager 2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crossed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supposed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“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head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comet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take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mission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indeed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tail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been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sending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probe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although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such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mission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probably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launch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sooner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2030s.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Until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humanity’s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intrepid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travellers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continue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define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current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And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probes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could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live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decade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looking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forward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measurements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deeper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5B10" w:rsidRPr="00295B10" w:rsidRDefault="00295B10" w:rsidP="00295B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95B1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ABOUT THE </w:t>
      </w:r>
      <w:proofErr w:type="gramStart"/>
      <w:r w:rsidRPr="00295B1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AUTHOR(</w:t>
      </w:r>
      <w:proofErr w:type="gramEnd"/>
      <w:r w:rsidRPr="00295B1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S)</w:t>
      </w:r>
    </w:p>
    <w:p w:rsidR="00295B10" w:rsidRPr="00295B10" w:rsidRDefault="00295B10" w:rsidP="00295B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Jonathan </w:t>
      </w:r>
      <w:proofErr w:type="spellStart"/>
      <w:r w:rsidRPr="00295B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O'Callaghan</w:t>
      </w:r>
      <w:proofErr w:type="spellEnd"/>
    </w:p>
    <w:p w:rsidR="00295B10" w:rsidRPr="00295B10" w:rsidRDefault="00295B10" w:rsidP="0029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Jonathan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O'Callaghan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freelance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journalist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covering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commercial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spaceflight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exploration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a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wide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range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295B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D6B89" w:rsidRDefault="00ED6B89">
      <w:bookmarkStart w:id="0" w:name="_GoBack"/>
      <w:bookmarkEnd w:id="0"/>
    </w:p>
    <w:sectPr w:rsidR="00ED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0"/>
    <w:rsid w:val="00295B10"/>
    <w:rsid w:val="00E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65AF-3760-4C94-993A-33B404D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50-019-0942-5" TargetMode="External"/><Relationship Id="rId5" Type="http://schemas.openxmlformats.org/officeDocument/2006/relationships/hyperlink" Target="https://voyager.jpl.nasa.gov/news/details.php?article_id=1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jozsef.f.gyulai@gmail.com</dc:creator>
  <cp:keywords/>
  <dc:description/>
  <cp:lastModifiedBy>jozsef.f.gyulai@gmail.com</cp:lastModifiedBy>
  <cp:revision>1</cp:revision>
  <dcterms:created xsi:type="dcterms:W3CDTF">2019-11-07T20:31:00Z</dcterms:created>
  <dcterms:modified xsi:type="dcterms:W3CDTF">2019-11-07T20:33:00Z</dcterms:modified>
</cp:coreProperties>
</file>