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91" w:rsidRPr="00305B0B" w:rsidRDefault="00305B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5B0B">
        <w:rPr>
          <w:rFonts w:ascii="Times New Roman" w:hAnsi="Times New Roman" w:cs="Times New Roman"/>
          <w:sz w:val="24"/>
          <w:szCs w:val="24"/>
        </w:rPr>
        <w:t>MTA-EK Szemináriumi előadás</w:t>
      </w:r>
      <w:r w:rsidR="005661F8">
        <w:rPr>
          <w:rFonts w:ascii="Times New Roman" w:hAnsi="Times New Roman" w:cs="Times New Roman"/>
          <w:sz w:val="24"/>
          <w:szCs w:val="24"/>
        </w:rPr>
        <w:t xml:space="preserve"> Furko Mónika</w:t>
      </w:r>
    </w:p>
    <w:p w:rsidR="00305B0B" w:rsidRPr="00305B0B" w:rsidRDefault="00305B0B">
      <w:pPr>
        <w:rPr>
          <w:rFonts w:ascii="Times New Roman" w:hAnsi="Times New Roman" w:cs="Times New Roman"/>
          <w:sz w:val="24"/>
          <w:szCs w:val="24"/>
        </w:rPr>
      </w:pPr>
      <w:r w:rsidRPr="00305B0B">
        <w:rPr>
          <w:rFonts w:ascii="Times New Roman" w:hAnsi="Times New Roman" w:cs="Times New Roman"/>
          <w:sz w:val="24"/>
          <w:szCs w:val="24"/>
        </w:rPr>
        <w:t xml:space="preserve">Cím: </w:t>
      </w:r>
    </w:p>
    <w:p w:rsidR="00305B0B" w:rsidRPr="00305B0B" w:rsidRDefault="00305B0B">
      <w:pPr>
        <w:rPr>
          <w:rFonts w:ascii="Times New Roman" w:hAnsi="Times New Roman" w:cs="Times New Roman"/>
          <w:sz w:val="24"/>
          <w:szCs w:val="24"/>
        </w:rPr>
      </w:pPr>
      <w:r w:rsidRPr="00305B0B">
        <w:rPr>
          <w:rFonts w:ascii="Times New Roman" w:hAnsi="Times New Roman" w:cs="Times New Roman"/>
          <w:sz w:val="24"/>
          <w:szCs w:val="24"/>
        </w:rPr>
        <w:t>Ion-módosított kalcium foszfát rétegek kifejlesztése implantátum anyagokra: egy innovatív megoldás az impla</w:t>
      </w:r>
      <w:r w:rsidR="009A47C4">
        <w:rPr>
          <w:rFonts w:ascii="Times New Roman" w:hAnsi="Times New Roman" w:cs="Times New Roman"/>
          <w:sz w:val="24"/>
          <w:szCs w:val="24"/>
        </w:rPr>
        <w:t>n</w:t>
      </w:r>
      <w:r w:rsidRPr="00305B0B">
        <w:rPr>
          <w:rFonts w:ascii="Times New Roman" w:hAnsi="Times New Roman" w:cs="Times New Roman"/>
          <w:sz w:val="24"/>
          <w:szCs w:val="24"/>
        </w:rPr>
        <w:t>tációt követő fertőződések elkerülésére</w:t>
      </w:r>
    </w:p>
    <w:p w:rsidR="00305B0B" w:rsidRPr="00305B0B" w:rsidRDefault="00305B0B">
      <w:pPr>
        <w:rPr>
          <w:rFonts w:ascii="Times New Roman" w:hAnsi="Times New Roman" w:cs="Times New Roman"/>
          <w:sz w:val="24"/>
          <w:szCs w:val="24"/>
        </w:rPr>
      </w:pPr>
    </w:p>
    <w:p w:rsidR="00305B0B" w:rsidRPr="00305B0B" w:rsidRDefault="00305B0B">
      <w:pPr>
        <w:rPr>
          <w:rFonts w:ascii="Times New Roman" w:hAnsi="Times New Roman" w:cs="Times New Roman"/>
          <w:sz w:val="24"/>
          <w:szCs w:val="24"/>
        </w:rPr>
      </w:pPr>
      <w:r w:rsidRPr="00305B0B">
        <w:rPr>
          <w:rFonts w:ascii="Times New Roman" w:hAnsi="Times New Roman" w:cs="Times New Roman"/>
          <w:sz w:val="24"/>
          <w:szCs w:val="24"/>
        </w:rPr>
        <w:t>Absztrakt</w:t>
      </w:r>
    </w:p>
    <w:p w:rsidR="00305B0B" w:rsidRPr="00305B0B" w:rsidRDefault="00305B0B" w:rsidP="0030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0B">
        <w:rPr>
          <w:rFonts w:ascii="Times New Roman" w:hAnsi="Times New Roman" w:cs="Times New Roman"/>
          <w:sz w:val="24"/>
          <w:szCs w:val="24"/>
        </w:rPr>
        <w:t xml:space="preserve">Az orvosi implantátumokkal szemben támasztott főbb követelmények a megbízható mechanikai szilárdság, kémiai stabilitás, korrózióállóság valamint biokompatibilitás fiziológiás körülmények között. A hagyományos implantátum anyagok lehetővé teszik a károsodott csontsejtek regenerálódását, azonban hosszú idejű alkalmazás esetén toxikus elemek oldódhatnak a szervezetbe. Biológiailag lebomló és biokompatibilis bevonatok alkalmazásával ez a káros hatás kiküszöbölhető. Hidroxiapatit </w:t>
      </w:r>
      <w:r w:rsidRPr="00305B0B">
        <w:rPr>
          <w:rFonts w:ascii="Times New Roman" w:eastAsia="AdvGulliv-R" w:hAnsi="Times New Roman" w:cs="Times New Roman"/>
          <w:color w:val="000000"/>
          <w:sz w:val="24"/>
          <w:szCs w:val="24"/>
          <w:lang w:val="en-GB"/>
        </w:rPr>
        <w:t>[Ca</w:t>
      </w:r>
      <w:r w:rsidRPr="00305B0B">
        <w:rPr>
          <w:rFonts w:ascii="Times New Roman" w:eastAsia="AdvGulliv-R" w:hAnsi="Times New Roman" w:cs="Times New Roman"/>
          <w:color w:val="000000"/>
          <w:sz w:val="24"/>
          <w:szCs w:val="24"/>
          <w:vertAlign w:val="subscript"/>
          <w:lang w:val="en-GB"/>
        </w:rPr>
        <w:t>10</w:t>
      </w:r>
      <w:r w:rsidRPr="00305B0B">
        <w:rPr>
          <w:rFonts w:ascii="Times New Roman" w:eastAsia="AdvGulliv-R" w:hAnsi="Times New Roman" w:cs="Times New Roman"/>
          <w:color w:val="000000"/>
          <w:sz w:val="24"/>
          <w:szCs w:val="24"/>
          <w:lang w:val="en-GB"/>
        </w:rPr>
        <w:t>(PO</w:t>
      </w:r>
      <w:r w:rsidRPr="00305B0B">
        <w:rPr>
          <w:rFonts w:ascii="Times New Roman" w:eastAsia="AdvGulliv-R" w:hAnsi="Times New Roman" w:cs="Times New Roman"/>
          <w:color w:val="000000"/>
          <w:sz w:val="24"/>
          <w:szCs w:val="24"/>
          <w:vertAlign w:val="subscript"/>
          <w:lang w:val="en-GB"/>
        </w:rPr>
        <w:t>4</w:t>
      </w:r>
      <w:r w:rsidRPr="00305B0B">
        <w:rPr>
          <w:rFonts w:ascii="Times New Roman" w:eastAsia="AdvGulliv-R" w:hAnsi="Times New Roman" w:cs="Times New Roman"/>
          <w:color w:val="000000"/>
          <w:sz w:val="24"/>
          <w:szCs w:val="24"/>
          <w:lang w:val="en-GB"/>
        </w:rPr>
        <w:t>)</w:t>
      </w:r>
      <w:r w:rsidRPr="00305B0B">
        <w:rPr>
          <w:rFonts w:ascii="Times New Roman" w:eastAsia="AdvGulliv-R" w:hAnsi="Times New Roman" w:cs="Times New Roman"/>
          <w:color w:val="000000"/>
          <w:sz w:val="24"/>
          <w:szCs w:val="24"/>
          <w:vertAlign w:val="subscript"/>
          <w:lang w:val="en-GB"/>
        </w:rPr>
        <w:t>6</w:t>
      </w:r>
      <w:r w:rsidRPr="00305B0B">
        <w:rPr>
          <w:rFonts w:ascii="Times New Roman" w:eastAsia="AdvGulliv-R" w:hAnsi="Times New Roman" w:cs="Times New Roman"/>
          <w:color w:val="000000"/>
          <w:sz w:val="24"/>
          <w:szCs w:val="24"/>
          <w:lang w:val="en-GB"/>
        </w:rPr>
        <w:t>(OH)</w:t>
      </w:r>
      <w:r w:rsidRPr="00305B0B">
        <w:rPr>
          <w:rFonts w:ascii="Times New Roman" w:eastAsia="AdvGulliv-R" w:hAnsi="Times New Roman" w:cs="Times New Roman"/>
          <w:color w:val="000000"/>
          <w:sz w:val="24"/>
          <w:szCs w:val="24"/>
          <w:vertAlign w:val="subscript"/>
          <w:lang w:val="en-GB"/>
        </w:rPr>
        <w:t>2</w:t>
      </w:r>
      <w:r w:rsidRPr="00305B0B">
        <w:rPr>
          <w:rFonts w:ascii="Times New Roman" w:eastAsia="AdvGulliv-R" w:hAnsi="Times New Roman" w:cs="Times New Roman"/>
          <w:color w:val="000000"/>
          <w:sz w:val="24"/>
          <w:szCs w:val="24"/>
          <w:lang w:val="en-GB"/>
        </w:rPr>
        <w:t>, HA</w:t>
      </w:r>
      <w:r w:rsidRPr="00305B0B">
        <w:rPr>
          <w:rFonts w:ascii="Times New Roman" w:eastAsia="AdvGulliv-R" w:hAnsi="Times New Roman" w:cs="Times New Roman"/>
          <w:color w:val="000000"/>
          <w:sz w:val="24"/>
          <w:szCs w:val="24"/>
          <w:vertAlign w:val="subscript"/>
          <w:lang w:val="en-GB"/>
        </w:rPr>
        <w:t>P</w:t>
      </w:r>
      <w:r w:rsidRPr="00305B0B">
        <w:rPr>
          <w:rFonts w:ascii="Times New Roman" w:eastAsia="AdvGulliv-R" w:hAnsi="Times New Roman" w:cs="Times New Roman"/>
          <w:color w:val="000000"/>
          <w:sz w:val="24"/>
          <w:szCs w:val="24"/>
          <w:lang w:val="en-GB"/>
        </w:rPr>
        <w:t>]</w:t>
      </w:r>
      <w:r>
        <w:rPr>
          <w:rFonts w:ascii="Times New Roman" w:eastAsia="AdvGulliv-R" w:hAnsi="Times New Roman" w:cs="Times New Roman"/>
          <w:color w:val="000000"/>
          <w:sz w:val="24"/>
          <w:szCs w:val="24"/>
          <w:lang w:val="en-GB"/>
        </w:rPr>
        <w:t xml:space="preserve"> </w:t>
      </w:r>
      <w:r w:rsidRPr="00305B0B">
        <w:rPr>
          <w:rFonts w:ascii="Times New Roman" w:hAnsi="Times New Roman" w:cs="Times New Roman"/>
          <w:sz w:val="24"/>
          <w:szCs w:val="24"/>
        </w:rPr>
        <w:t>és egyéb bioaktív kálcium foszfát (CaP) rétegek leválasztásával az implantátum felületére a biokompatibilitás és a csontsejtek ránövésének képessége jelentősen javul és ötvözi a fémek szilárdságát a kerámiaanyagok bioaktivitásával.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B0B">
        <w:rPr>
          <w:rFonts w:ascii="Times New Roman" w:hAnsi="Times New Roman" w:cs="Times New Roman"/>
          <w:sz w:val="24"/>
          <w:szCs w:val="24"/>
        </w:rPr>
        <w:t xml:space="preserve">Az ezüstöt is tartalmazó bevonatok fő előnye, hogy széles spektrumú antimikrobiális tulajdonsággal rendelkezik és a baktériumok nem válnak ellenállóvá vele szemben. Ezáltal az ezüst ionok hatása folyamatos és hosszan tartó, megakadályozva a biofilm képződését az implantátum felületén. </w:t>
      </w:r>
    </w:p>
    <w:p w:rsidR="00305B0B" w:rsidRPr="00305B0B" w:rsidRDefault="00305B0B" w:rsidP="0030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0B">
        <w:rPr>
          <w:rFonts w:ascii="Times New Roman" w:hAnsi="Times New Roman" w:cs="Times New Roman"/>
          <w:sz w:val="24"/>
          <w:szCs w:val="24"/>
        </w:rPr>
        <w:t>Mostanában egyre nagyobb jelentőséget tulajdonítanak a pulzáló áramú leválasztásnak, mivel ennek segítségével kis szemcseméretű, homogén bevonatok nyerhetőek alacsony hőmérsékletű leválasztás esetén is. Ezek a bevonatok kis belső feszültséggel rendelkeznek és az oldhatóságuk a testfolyadékokban elhanyagolható.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B0B">
        <w:rPr>
          <w:rFonts w:ascii="Times New Roman" w:hAnsi="Times New Roman" w:cs="Times New Roman"/>
          <w:sz w:val="24"/>
          <w:szCs w:val="24"/>
        </w:rPr>
        <w:t>A bevonat vastagsága, összetétele, morfológiája tetszőlegesen variálható. Az emberi csont tartalmaz nyomokban nátriumot, magnéziumot, cinket és stronciumot is. A kálcium foszfát réteget tetszőlegesen lehet módosítani ezen elemek beépítésével a rétegbe.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B0B">
        <w:rPr>
          <w:rFonts w:ascii="Times New Roman" w:hAnsi="Times New Roman" w:cs="Times New Roman"/>
          <w:sz w:val="24"/>
          <w:szCs w:val="24"/>
        </w:rPr>
        <w:t xml:space="preserve">Az egyik legnagyobb előnye az Ag, Zn </w:t>
      </w:r>
      <w:r>
        <w:rPr>
          <w:rFonts w:ascii="Times New Roman" w:hAnsi="Times New Roman" w:cs="Times New Roman"/>
          <w:sz w:val="24"/>
          <w:szCs w:val="24"/>
        </w:rPr>
        <w:t>Mg és</w:t>
      </w:r>
      <w:r w:rsidRPr="00305B0B">
        <w:rPr>
          <w:rFonts w:ascii="Times New Roman" w:hAnsi="Times New Roman" w:cs="Times New Roman"/>
          <w:sz w:val="24"/>
          <w:szCs w:val="24"/>
        </w:rPr>
        <w:t xml:space="preserve"> Sr</w:t>
      </w:r>
      <w:r>
        <w:rPr>
          <w:rFonts w:ascii="Times New Roman" w:hAnsi="Times New Roman" w:cs="Times New Roman"/>
          <w:sz w:val="24"/>
          <w:szCs w:val="24"/>
        </w:rPr>
        <w:t xml:space="preserve"> ionokkal</w:t>
      </w:r>
      <w:r w:rsidRPr="00305B0B">
        <w:rPr>
          <w:rFonts w:ascii="Times New Roman" w:hAnsi="Times New Roman" w:cs="Times New Roman"/>
          <w:sz w:val="24"/>
          <w:szCs w:val="24"/>
        </w:rPr>
        <w:t xml:space="preserve"> módosított CaP rétegeknek, hogy elősegítik a csontránövést és gyorsítják a sebgyógyulási folyamatot.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B0B">
        <w:rPr>
          <w:rFonts w:ascii="Times New Roman" w:hAnsi="Times New Roman" w:cs="Times New Roman"/>
          <w:sz w:val="24"/>
          <w:szCs w:val="24"/>
        </w:rPr>
        <w:t>Ez a bevonat fokozatosan degradálódik, beoldódik a szervezetbe és elősegíti, felgyorsítja a csontszövetek gyógyulását.</w:t>
      </w:r>
    </w:p>
    <w:p w:rsidR="00305B0B" w:rsidRDefault="00305B0B"/>
    <w:sectPr w:rsidR="00305B0B" w:rsidSect="0070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B0B"/>
    <w:rsid w:val="00063485"/>
    <w:rsid w:val="00305B0B"/>
    <w:rsid w:val="004B4A81"/>
    <w:rsid w:val="00513C3C"/>
    <w:rsid w:val="005661F8"/>
    <w:rsid w:val="007059D3"/>
    <w:rsid w:val="009A47C4"/>
    <w:rsid w:val="00C21758"/>
    <w:rsid w:val="00F4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9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Radnóczi György</cp:lastModifiedBy>
  <cp:revision>2</cp:revision>
  <dcterms:created xsi:type="dcterms:W3CDTF">2017-05-08T14:21:00Z</dcterms:created>
  <dcterms:modified xsi:type="dcterms:W3CDTF">2017-05-08T14:21:00Z</dcterms:modified>
</cp:coreProperties>
</file>